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342F3" w14:textId="77777777" w:rsidR="00571708" w:rsidRPr="00571708" w:rsidRDefault="00571708" w:rsidP="00571708">
      <w:pPr>
        <w:spacing w:after="0" w:line="240" w:lineRule="auto"/>
        <w:ind w:left="-270"/>
        <w:jc w:val="both"/>
        <w:rPr>
          <w:rFonts w:ascii="Times New Roman" w:eastAsia="Times New Roman" w:hAnsi="Times New Roman" w:cs="Times New Roman"/>
          <w:sz w:val="24"/>
          <w:szCs w:val="24"/>
        </w:rPr>
      </w:pPr>
      <w:r w:rsidRPr="00571708">
        <w:rPr>
          <w:rFonts w:ascii="Arial" w:eastAsia="Times New Roman" w:hAnsi="Arial" w:cs="Arial"/>
          <w:b/>
          <w:bCs/>
          <w:color w:val="000000"/>
          <w:sz w:val="33"/>
          <w:szCs w:val="33"/>
        </w:rPr>
        <w:t>THE APPLICABILITY OF STATUTORY PROVISION AND SETTLED PRINCIPLE OF LAW ON PRE-REQUISITE OF PRE-ACTION NOTICE IN NIGERIA</w:t>
      </w:r>
      <w:r w:rsidRPr="00571708">
        <w:rPr>
          <w:rFonts w:ascii="Bookman Old Style" w:eastAsia="Times New Roman" w:hAnsi="Bookman Old Style" w:cs="Times New Roman"/>
          <w:b/>
          <w:bCs/>
          <w:color w:val="000000"/>
          <w:sz w:val="24"/>
          <w:szCs w:val="24"/>
        </w:rPr>
        <w:t>-</w:t>
      </w:r>
      <w:r w:rsidRPr="00571708">
        <w:rPr>
          <w:rFonts w:ascii="Arial" w:eastAsia="Times New Roman" w:hAnsi="Arial" w:cs="Arial"/>
          <w:b/>
          <w:bCs/>
          <w:color w:val="000000"/>
          <w:sz w:val="24"/>
          <w:szCs w:val="24"/>
        </w:rPr>
        <w:t xml:space="preserve"> </w:t>
      </w:r>
      <w:r w:rsidRPr="00571708">
        <w:rPr>
          <w:rFonts w:ascii="Arial Black" w:eastAsia="Times New Roman" w:hAnsi="Arial Black" w:cs="Times New Roman"/>
          <w:b/>
          <w:bCs/>
          <w:color w:val="000000"/>
          <w:sz w:val="26"/>
          <w:szCs w:val="26"/>
        </w:rPr>
        <w:t>A STRETCHY APPLICATION </w:t>
      </w:r>
    </w:p>
    <w:p w14:paraId="1F3C197B"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Times New Roman" w:eastAsia="Times New Roman" w:hAnsi="Times New Roman" w:cs="Times New Roman"/>
          <w:color w:val="000000"/>
          <w:sz w:val="26"/>
          <w:szCs w:val="26"/>
        </w:rPr>
        <w:t>                                                             BY</w:t>
      </w:r>
    </w:p>
    <w:p w14:paraId="5FAA35CF"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Times New Roman" w:eastAsia="Times New Roman" w:hAnsi="Times New Roman" w:cs="Times New Roman"/>
          <w:color w:val="000000"/>
          <w:sz w:val="26"/>
          <w:szCs w:val="26"/>
        </w:rPr>
        <w:tab/>
      </w:r>
      <w:r w:rsidRPr="00571708">
        <w:rPr>
          <w:rFonts w:ascii="Times New Roman" w:eastAsia="Times New Roman" w:hAnsi="Times New Roman" w:cs="Times New Roman"/>
          <w:color w:val="000000"/>
          <w:sz w:val="26"/>
          <w:szCs w:val="26"/>
        </w:rPr>
        <w:tab/>
        <w:t xml:space="preserve">S.O. GIWA ESQ. </w:t>
      </w:r>
      <w:proofErr w:type="spellStart"/>
      <w:r w:rsidRPr="00571708">
        <w:rPr>
          <w:rFonts w:ascii="Times New Roman" w:eastAsia="Times New Roman" w:hAnsi="Times New Roman" w:cs="Times New Roman"/>
          <w:i/>
          <w:iCs/>
          <w:color w:val="000000"/>
          <w:sz w:val="26"/>
          <w:szCs w:val="26"/>
        </w:rPr>
        <w:t>a.k.a</w:t>
      </w:r>
      <w:proofErr w:type="spellEnd"/>
      <w:r w:rsidRPr="00571708">
        <w:rPr>
          <w:rFonts w:ascii="Times New Roman" w:eastAsia="Times New Roman" w:hAnsi="Times New Roman" w:cs="Times New Roman"/>
          <w:i/>
          <w:iCs/>
          <w:color w:val="000000"/>
          <w:sz w:val="26"/>
          <w:szCs w:val="26"/>
        </w:rPr>
        <w:t xml:space="preserve"> </w:t>
      </w:r>
      <w:proofErr w:type="spellStart"/>
      <w:r w:rsidRPr="00571708">
        <w:rPr>
          <w:rFonts w:ascii="Times New Roman" w:eastAsia="Times New Roman" w:hAnsi="Times New Roman" w:cs="Times New Roman"/>
          <w:i/>
          <w:iCs/>
          <w:color w:val="000000"/>
          <w:sz w:val="26"/>
          <w:szCs w:val="26"/>
        </w:rPr>
        <w:t>pentalk</w:t>
      </w:r>
      <w:proofErr w:type="spellEnd"/>
      <w:r w:rsidRPr="00571708">
        <w:rPr>
          <w:rFonts w:ascii="Times New Roman" w:eastAsia="Times New Roman" w:hAnsi="Times New Roman" w:cs="Times New Roman"/>
          <w:i/>
          <w:iCs/>
          <w:color w:val="000000"/>
          <w:sz w:val="26"/>
          <w:szCs w:val="26"/>
        </w:rPr>
        <w:t xml:space="preserve"> </w:t>
      </w:r>
      <w:r w:rsidRPr="00571708">
        <w:rPr>
          <w:rFonts w:ascii="Times New Roman" w:eastAsia="Times New Roman" w:hAnsi="Times New Roman" w:cs="Times New Roman"/>
          <w:color w:val="000000"/>
          <w:sz w:val="26"/>
          <w:szCs w:val="26"/>
        </w:rPr>
        <w:t xml:space="preserve">(Ibadan based Legal Practitioner)  </w:t>
      </w:r>
      <w:r w:rsidRPr="00571708">
        <w:rPr>
          <w:rFonts w:ascii="Times New Roman" w:eastAsia="Times New Roman" w:hAnsi="Times New Roman" w:cs="Times New Roman"/>
          <w:color w:val="000000"/>
          <w:sz w:val="26"/>
          <w:szCs w:val="26"/>
        </w:rPr>
        <w:tab/>
      </w:r>
      <w:r w:rsidRPr="00571708">
        <w:rPr>
          <w:rFonts w:ascii="Times New Roman" w:eastAsia="Times New Roman" w:hAnsi="Times New Roman" w:cs="Times New Roman"/>
          <w:color w:val="000000"/>
          <w:sz w:val="26"/>
          <w:szCs w:val="26"/>
        </w:rPr>
        <w:tab/>
      </w:r>
      <w:r w:rsidRPr="00571708">
        <w:rPr>
          <w:rFonts w:ascii="Times New Roman" w:eastAsia="Times New Roman" w:hAnsi="Times New Roman" w:cs="Times New Roman"/>
          <w:color w:val="000000"/>
          <w:sz w:val="26"/>
          <w:szCs w:val="26"/>
        </w:rPr>
        <w:tab/>
        <w:t xml:space="preserve"> </w:t>
      </w:r>
      <w:r w:rsidRPr="00571708">
        <w:rPr>
          <w:rFonts w:ascii="Times New Roman" w:eastAsia="Times New Roman" w:hAnsi="Times New Roman" w:cs="Times New Roman"/>
          <w:color w:val="000000"/>
          <w:sz w:val="26"/>
          <w:szCs w:val="26"/>
        </w:rPr>
        <w:tab/>
      </w:r>
      <w:r w:rsidRPr="00571708">
        <w:rPr>
          <w:rFonts w:ascii="Times New Roman" w:eastAsia="Times New Roman" w:hAnsi="Times New Roman" w:cs="Times New Roman"/>
          <w:color w:val="000000"/>
          <w:sz w:val="26"/>
          <w:szCs w:val="26"/>
        </w:rPr>
        <w:tab/>
        <w:t xml:space="preserve">                     </w:t>
      </w:r>
      <w:hyperlink r:id="rId5" w:history="1">
        <w:r w:rsidRPr="00571708">
          <w:rPr>
            <w:rFonts w:ascii="Arial" w:eastAsia="Times New Roman" w:hAnsi="Arial" w:cs="Arial"/>
            <w:b/>
            <w:bCs/>
            <w:color w:val="0000FF"/>
            <w:sz w:val="28"/>
            <w:szCs w:val="28"/>
            <w:u w:val="single"/>
          </w:rPr>
          <w:t>giwa_pentalk@yahoo.com</w:t>
        </w:r>
      </w:hyperlink>
      <w:r w:rsidRPr="00571708">
        <w:rPr>
          <w:rFonts w:ascii="Arial" w:eastAsia="Times New Roman" w:hAnsi="Arial" w:cs="Arial"/>
          <w:b/>
          <w:bCs/>
          <w:color w:val="000000"/>
          <w:sz w:val="28"/>
          <w:szCs w:val="28"/>
        </w:rPr>
        <w:t xml:space="preserve"> 08035224192</w:t>
      </w:r>
    </w:p>
    <w:p w14:paraId="1FDF33E6"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0D6AF08"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The use of statutory provision in a statute including procedural provision in the Rules of Court and settled principle of law laid down in decided cases as authorities to entreat court for the grant of claim or relief placed before court is not unknown practice in the practice of law in Nigeria.</w:t>
      </w:r>
    </w:p>
    <w:p w14:paraId="5705B3C0"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10CDB188"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Many legal practitioners often resort to the use of statutory provision of the law or procedural provision of the Rules of Court and settled principle of law held in the decided cases without putting into consideration the distinctiveness of the facts of the case before the court for determination from the considered facts in those decided cases.</w:t>
      </w:r>
    </w:p>
    <w:p w14:paraId="3E206DA5"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7D1B3877"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This ubiquitous practice of resorting to the use of statutory provision of the law or procedural provision of the Rules of Court and settled principle of law held in the decided cases know no bound as many lawyers do resort to filing of an application pursuant to the statutory provision in the Statute and Rules of Court to challenge jurisdiction of the Court on ground of the party’s failure to discharge his statutory obligation of issuing and serving a pre-action notice on the adverse party which is a Statutory Corporation or Local Government Council, a body created by a Statute, and the like.</w:t>
      </w:r>
    </w:p>
    <w:p w14:paraId="18523228"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245AE500"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no gainsaying that most often than none, many Counsel do hinge their objection of challenging jurisdiction of the Court on the ground of the failure of a party called ‘Claimant’ to comply with the Statutory provision which places obligation on a party to issue and serve pre-action notice on the adverse party which is a body created by law or Statutory Corporation with citation of plenitude of decided cases in their written argument filed in support of their objection as authorities for their objection.</w:t>
      </w:r>
    </w:p>
    <w:p w14:paraId="4E0FFAE1"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6186753"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This practice of filing application to challenge jurisdiction of the Court to entertain the suit on ground of the failure of a party christened ‘Claimant’ to comply with the mandatory statutory provision which provides that a pre-action notice must be issued and served on the adverse party, a body created by law or Statutory Corporation, forms the springboard for the below fundamental questions which are calling for rational answers.</w:t>
      </w:r>
    </w:p>
    <w:p w14:paraId="0140AFFA" w14:textId="77777777" w:rsidR="00571708" w:rsidRPr="00571708" w:rsidRDefault="00571708" w:rsidP="00571708">
      <w:pPr>
        <w:numPr>
          <w:ilvl w:val="0"/>
          <w:numId w:val="1"/>
        </w:numPr>
        <w:spacing w:after="0" w:line="240" w:lineRule="auto"/>
        <w:ind w:left="2220"/>
        <w:jc w:val="both"/>
        <w:textAlignment w:val="baseline"/>
        <w:rPr>
          <w:rFonts w:ascii="Arial" w:eastAsia="Times New Roman" w:hAnsi="Arial" w:cs="Arial"/>
          <w:color w:val="000000"/>
          <w:sz w:val="26"/>
          <w:szCs w:val="26"/>
        </w:rPr>
      </w:pPr>
      <w:r w:rsidRPr="00571708">
        <w:rPr>
          <w:rFonts w:ascii="Bookman Old Style" w:eastAsia="Times New Roman" w:hAnsi="Bookman Old Style" w:cs="Arial"/>
          <w:color w:val="000000"/>
          <w:sz w:val="26"/>
          <w:szCs w:val="26"/>
        </w:rPr>
        <w:t>What is a Pre-action notice in legal parlance?</w:t>
      </w:r>
    </w:p>
    <w:p w14:paraId="29ABAE9D" w14:textId="77777777" w:rsidR="00571708" w:rsidRPr="00571708" w:rsidRDefault="00571708" w:rsidP="00571708">
      <w:pPr>
        <w:numPr>
          <w:ilvl w:val="0"/>
          <w:numId w:val="1"/>
        </w:numPr>
        <w:spacing w:after="0" w:line="240" w:lineRule="auto"/>
        <w:ind w:left="2220"/>
        <w:jc w:val="both"/>
        <w:textAlignment w:val="baseline"/>
        <w:rPr>
          <w:rFonts w:ascii="Arial" w:eastAsia="Times New Roman" w:hAnsi="Arial" w:cs="Arial"/>
          <w:color w:val="000000"/>
          <w:sz w:val="26"/>
          <w:szCs w:val="26"/>
        </w:rPr>
      </w:pPr>
      <w:r w:rsidRPr="00571708">
        <w:rPr>
          <w:rFonts w:ascii="Bookman Old Style" w:eastAsia="Times New Roman" w:hAnsi="Bookman Old Style" w:cs="Arial"/>
          <w:color w:val="000000"/>
          <w:sz w:val="26"/>
          <w:szCs w:val="26"/>
        </w:rPr>
        <w:lastRenderedPageBreak/>
        <w:t>Are there no situations where issuance and service of pre-action notice on an adverse party which is a Statutory Corporation or body created by law does not constitute a condition precedent?</w:t>
      </w:r>
    </w:p>
    <w:p w14:paraId="3A5677A2" w14:textId="77777777" w:rsidR="00571708" w:rsidRPr="00571708" w:rsidRDefault="00571708" w:rsidP="00571708">
      <w:pPr>
        <w:numPr>
          <w:ilvl w:val="0"/>
          <w:numId w:val="1"/>
        </w:numPr>
        <w:spacing w:after="0" w:line="240" w:lineRule="auto"/>
        <w:ind w:left="2220"/>
        <w:jc w:val="both"/>
        <w:textAlignment w:val="baseline"/>
        <w:rPr>
          <w:rFonts w:ascii="Arial" w:eastAsia="Times New Roman" w:hAnsi="Arial" w:cs="Arial"/>
          <w:color w:val="000000"/>
          <w:sz w:val="26"/>
          <w:szCs w:val="26"/>
        </w:rPr>
      </w:pPr>
      <w:r w:rsidRPr="00571708">
        <w:rPr>
          <w:rFonts w:ascii="Bookman Old Style" w:eastAsia="Times New Roman" w:hAnsi="Bookman Old Style" w:cs="Arial"/>
          <w:color w:val="000000"/>
          <w:sz w:val="26"/>
          <w:szCs w:val="26"/>
        </w:rPr>
        <w:t>Are the decided cases on pre-requisite of pre-action notice blanket authorities applicable to all situations?    </w:t>
      </w:r>
    </w:p>
    <w:p w14:paraId="2238427B"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635B2287"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Scouting for answers to the aforementioned questions prompts writing this piece with a view to making writer’s stand and recommendation where need be.</w:t>
      </w:r>
    </w:p>
    <w:p w14:paraId="3A487793"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092016C6"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b/>
          <w:bCs/>
          <w:color w:val="000000"/>
          <w:sz w:val="26"/>
          <w:szCs w:val="26"/>
        </w:rPr>
        <w:t>What is a pre-action notice?</w:t>
      </w:r>
    </w:p>
    <w:p w14:paraId="2F1671A3"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0B124D8A"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In defining a pre-action notice by Ibrahim </w:t>
      </w:r>
      <w:proofErr w:type="spellStart"/>
      <w:r w:rsidRPr="00571708">
        <w:rPr>
          <w:rFonts w:ascii="Bookman Old Style" w:eastAsia="Times New Roman" w:hAnsi="Bookman Old Style" w:cs="Times New Roman"/>
          <w:color w:val="000000"/>
          <w:sz w:val="26"/>
          <w:szCs w:val="26"/>
        </w:rPr>
        <w:t>Tanko</w:t>
      </w:r>
      <w:proofErr w:type="spellEnd"/>
      <w:r w:rsidRPr="00571708">
        <w:rPr>
          <w:rFonts w:ascii="Bookman Old Style" w:eastAsia="Times New Roman" w:hAnsi="Bookman Old Style" w:cs="Times New Roman"/>
          <w:color w:val="000000"/>
          <w:sz w:val="26"/>
          <w:szCs w:val="26"/>
        </w:rPr>
        <w:t xml:space="preserve"> Muhammad, J.S.C in NTIERO v. NPA (2008) LPELR-2073(SC), his lordship says thus: </w:t>
      </w:r>
    </w:p>
    <w:p w14:paraId="58355A02"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b/>
          <w:bCs/>
          <w:i/>
          <w:iCs/>
          <w:color w:val="000000"/>
          <w:sz w:val="26"/>
          <w:szCs w:val="26"/>
        </w:rPr>
        <w:t xml:space="preserve">‘A pre-action Notice connotes some form of legal notification or information required by law or imparted by operation of law, </w:t>
      </w:r>
      <w:r w:rsidRPr="00571708">
        <w:rPr>
          <w:rFonts w:ascii="Bookman Old Style" w:eastAsia="Times New Roman" w:hAnsi="Bookman Old Style" w:cs="Times New Roman"/>
          <w:b/>
          <w:bCs/>
          <w:i/>
          <w:iCs/>
          <w:color w:val="000000"/>
          <w:sz w:val="26"/>
          <w:szCs w:val="26"/>
          <w:u w:val="single"/>
        </w:rPr>
        <w:t>contained in an enactment, agreement or contract</w:t>
      </w:r>
      <w:r w:rsidRPr="00571708">
        <w:rPr>
          <w:rFonts w:ascii="Bookman Old Style" w:eastAsia="Times New Roman" w:hAnsi="Bookman Old Style" w:cs="Times New Roman"/>
          <w:b/>
          <w:bCs/>
          <w:i/>
          <w:iCs/>
          <w:color w:val="000000"/>
          <w:sz w:val="26"/>
          <w:szCs w:val="26"/>
        </w:rPr>
        <w:t xml:space="preserve"> which requires compliance by the person who is under legal duty to put on notice the person to be notified, before the commencement of any legal action against such a person.’</w:t>
      </w:r>
      <w:r w:rsidRPr="00571708">
        <w:rPr>
          <w:rFonts w:ascii="Bookman Old Style" w:eastAsia="Times New Roman" w:hAnsi="Bookman Old Style" w:cs="Times New Roman"/>
          <w:color w:val="000000"/>
          <w:sz w:val="26"/>
          <w:szCs w:val="26"/>
        </w:rPr>
        <w:t xml:space="preserve"> The underline is the writer’s for emphasis</w:t>
      </w:r>
      <w:r w:rsidRPr="00571708">
        <w:rPr>
          <w:rFonts w:ascii="Bookman Old Style" w:eastAsia="Times New Roman" w:hAnsi="Bookman Old Style" w:cs="Times New Roman"/>
          <w:b/>
          <w:bCs/>
          <w:i/>
          <w:iCs/>
          <w:color w:val="000000"/>
          <w:sz w:val="26"/>
          <w:szCs w:val="26"/>
        </w:rPr>
        <w:t> </w:t>
      </w:r>
    </w:p>
    <w:p w14:paraId="11CAE562"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2FCE8E3C"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The deductible points from His Lordship’s definition of a pre-action notice quoted above are that:</w:t>
      </w:r>
    </w:p>
    <w:p w14:paraId="22335F07" w14:textId="77777777" w:rsidR="00571708" w:rsidRPr="00571708" w:rsidRDefault="00571708" w:rsidP="00571708">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571708">
        <w:rPr>
          <w:rFonts w:ascii="Bookman Old Style" w:eastAsia="Times New Roman" w:hAnsi="Bookman Old Style" w:cs="Times New Roman"/>
          <w:color w:val="000000"/>
          <w:sz w:val="26"/>
          <w:szCs w:val="26"/>
        </w:rPr>
        <w:t>A pre action notice is a form of legal notification or information</w:t>
      </w:r>
    </w:p>
    <w:p w14:paraId="27D1511B" w14:textId="77777777" w:rsidR="00571708" w:rsidRPr="00571708" w:rsidRDefault="00571708" w:rsidP="00571708">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571708">
        <w:rPr>
          <w:rFonts w:ascii="Bookman Old Style" w:eastAsia="Times New Roman" w:hAnsi="Bookman Old Style" w:cs="Times New Roman"/>
          <w:color w:val="000000"/>
          <w:sz w:val="26"/>
          <w:szCs w:val="26"/>
        </w:rPr>
        <w:t>A pre action notice is required either by law or imparted by operation of law</w:t>
      </w:r>
    </w:p>
    <w:p w14:paraId="2421502D" w14:textId="77777777" w:rsidR="00571708" w:rsidRPr="00571708" w:rsidRDefault="00571708" w:rsidP="00571708">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571708">
        <w:rPr>
          <w:rFonts w:ascii="Bookman Old Style" w:eastAsia="Times New Roman" w:hAnsi="Bookman Old Style" w:cs="Times New Roman"/>
          <w:color w:val="000000"/>
          <w:sz w:val="26"/>
          <w:szCs w:val="26"/>
        </w:rPr>
        <w:t>A pre action notice is a legal information in an enactment or incorporated in an agreement or contract</w:t>
      </w:r>
    </w:p>
    <w:p w14:paraId="2D0DA03F" w14:textId="77777777" w:rsidR="00571708" w:rsidRPr="00571708" w:rsidRDefault="00571708" w:rsidP="00571708">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571708">
        <w:rPr>
          <w:rFonts w:ascii="Bookman Old Style" w:eastAsia="Times New Roman" w:hAnsi="Bookman Old Style" w:cs="Times New Roman"/>
          <w:color w:val="000000"/>
          <w:sz w:val="26"/>
          <w:szCs w:val="26"/>
        </w:rPr>
        <w:t>A pre action notice must be given by the person who is under legal duty to put on notice the person to be notified where it is required</w:t>
      </w:r>
    </w:p>
    <w:p w14:paraId="7EC958D0" w14:textId="77777777" w:rsidR="00571708" w:rsidRPr="00571708" w:rsidRDefault="00571708" w:rsidP="00571708">
      <w:pPr>
        <w:numPr>
          <w:ilvl w:val="0"/>
          <w:numId w:val="2"/>
        </w:numPr>
        <w:spacing w:after="0" w:line="240" w:lineRule="auto"/>
        <w:jc w:val="both"/>
        <w:textAlignment w:val="baseline"/>
        <w:rPr>
          <w:rFonts w:ascii="Bookman Old Style" w:eastAsia="Times New Roman" w:hAnsi="Bookman Old Style" w:cs="Times New Roman"/>
          <w:color w:val="000000"/>
          <w:sz w:val="26"/>
          <w:szCs w:val="26"/>
        </w:rPr>
      </w:pPr>
      <w:r w:rsidRPr="00571708">
        <w:rPr>
          <w:rFonts w:ascii="Bookman Old Style" w:eastAsia="Times New Roman" w:hAnsi="Bookman Old Style" w:cs="Times New Roman"/>
          <w:color w:val="000000"/>
          <w:sz w:val="26"/>
          <w:szCs w:val="26"/>
        </w:rPr>
        <w:t>Issuance and service of same is before the commencement of any legal action against such person </w:t>
      </w:r>
    </w:p>
    <w:p w14:paraId="0D613228" w14:textId="77777777" w:rsidR="00571708" w:rsidRPr="00571708" w:rsidRDefault="00571708" w:rsidP="00571708">
      <w:pPr>
        <w:spacing w:after="240" w:line="240" w:lineRule="auto"/>
        <w:rPr>
          <w:rFonts w:ascii="Times New Roman" w:eastAsia="Times New Roman" w:hAnsi="Times New Roman" w:cs="Times New Roman"/>
          <w:sz w:val="24"/>
          <w:szCs w:val="24"/>
        </w:rPr>
      </w:pPr>
    </w:p>
    <w:p w14:paraId="64CDCF1E"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crystal clear from His Lordship’s definition of a pre-action notice quoted above that it is not only by enactment that a pre-action notice is made a condition precedent; but also having issuance of pre-action notice incorporated as part of the terms in an agreement or a contract. Thus, a pre-action notice can be made a condition precedent either by the enactment or agreement between parties or contract entered into by the parties.</w:t>
      </w:r>
    </w:p>
    <w:p w14:paraId="468FA0A4"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0F129F41"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With the obvious fact evinced in His Lordship’s definition of a pre-action notice quoted above that either the enactment or agreement or contract can make a pre-action notice a condition precedent, one then wonders why many lawyers often neglect finding out if the cause of action is the one arose from breach of contract for them to read through the agreement with a view to finding out if there is an incorporation of the statutory provision as a pre-notice clause in the agreement between parties before jumping into conclusion that once an adverse party is a body created by law or Statutory Corporation and the establishing law of the said body provides for pre-action notice; non-issuance and service of pre-action notice before instituting action whose process served on the adverse party oust the court of its jurisdiction.</w:t>
      </w:r>
    </w:p>
    <w:p w14:paraId="587434C3"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7D1906DC"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fundamentally important to say at this juncture that the statutory provision which put a party under obligation to issue and serve pre-action notice on Statutory Corporations, Federal Government Agencies, and body created by the law like Local Government is not applicable to action whose cause is from breach of contract whose agreement bereft of the statutory provision incorporated in the terms of the said contract as a pre-action notice clause. </w:t>
      </w:r>
    </w:p>
    <w:p w14:paraId="442926F3" w14:textId="77777777" w:rsidR="00571708" w:rsidRPr="00571708" w:rsidRDefault="00571708" w:rsidP="00571708">
      <w:pPr>
        <w:spacing w:after="240" w:line="240" w:lineRule="auto"/>
        <w:rPr>
          <w:rFonts w:ascii="Times New Roman" w:eastAsia="Times New Roman" w:hAnsi="Times New Roman" w:cs="Times New Roman"/>
          <w:sz w:val="24"/>
          <w:szCs w:val="24"/>
        </w:rPr>
      </w:pPr>
    </w:p>
    <w:p w14:paraId="79C80A05"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must be borne in mind that the existence of provision in a Statute which makes a pre-action notice a condition precedent for the commencement of action against Statutory Corporation or a body created by law does not impose any legal obligation on a party whose cause of action arose from breach of contract which is bereft of statutory provision incorporated as a pre-action notice clause in the agreement. </w:t>
      </w:r>
    </w:p>
    <w:p w14:paraId="0A35688B" w14:textId="77777777" w:rsidR="00571708" w:rsidRPr="00571708" w:rsidRDefault="00571708" w:rsidP="00571708">
      <w:pPr>
        <w:spacing w:after="240" w:line="240" w:lineRule="auto"/>
        <w:rPr>
          <w:rFonts w:ascii="Times New Roman" w:eastAsia="Times New Roman" w:hAnsi="Times New Roman" w:cs="Times New Roman"/>
          <w:sz w:val="24"/>
          <w:szCs w:val="24"/>
        </w:rPr>
      </w:pPr>
    </w:p>
    <w:p w14:paraId="3DF84063"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the writer’s stand that pre-action notice would only become a condition precedent in cases of contract involving Statutory Corporation or a body created by law where such statutory provision is incorporated as a pre-action notice clause in the said contract and failure to fulfill the said condition would oust the court of its jurisdiction.</w:t>
      </w:r>
    </w:p>
    <w:p w14:paraId="77CAF007" w14:textId="77777777" w:rsidR="00571708" w:rsidRPr="00571708" w:rsidRDefault="00571708" w:rsidP="00571708">
      <w:pPr>
        <w:spacing w:after="240" w:line="240" w:lineRule="auto"/>
        <w:rPr>
          <w:rFonts w:ascii="Times New Roman" w:eastAsia="Times New Roman" w:hAnsi="Times New Roman" w:cs="Times New Roman"/>
          <w:sz w:val="24"/>
          <w:szCs w:val="24"/>
        </w:rPr>
      </w:pPr>
    </w:p>
    <w:p w14:paraId="3F67231F"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worth re-echoing that non-issuance and non-service of pre-action notice on Federal Government Agencies or Statutory Corporations in a matter involving contract with no provision for pre-action notice as condition precedent does not oust court of its jurisdiction and placing </w:t>
      </w:r>
      <w:r w:rsidRPr="00571708">
        <w:rPr>
          <w:rFonts w:ascii="Bookman Old Style" w:eastAsia="Times New Roman" w:hAnsi="Bookman Old Style" w:cs="Times New Roman"/>
          <w:color w:val="000000"/>
          <w:sz w:val="26"/>
          <w:szCs w:val="26"/>
        </w:rPr>
        <w:lastRenderedPageBreak/>
        <w:t>heavy reliance on the Statutory provision on the issuance of pre-action notice should be avoided for good practice.</w:t>
      </w:r>
    </w:p>
    <w:p w14:paraId="72BB295C" w14:textId="77777777" w:rsidR="00571708" w:rsidRPr="00571708" w:rsidRDefault="00571708" w:rsidP="00571708">
      <w:pPr>
        <w:spacing w:after="240" w:line="240" w:lineRule="auto"/>
        <w:rPr>
          <w:rFonts w:ascii="Times New Roman" w:eastAsia="Times New Roman" w:hAnsi="Times New Roman" w:cs="Times New Roman"/>
          <w:sz w:val="24"/>
          <w:szCs w:val="24"/>
        </w:rPr>
      </w:pPr>
    </w:p>
    <w:p w14:paraId="112EAB1B"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not in doubt that there is plenitude of decided cases by Superior Courts on the effect of non-issuance and non-service of a pre-requisite of pre-action notice on the jurisdiction of courts where a pre-action notice is made a condition precedent before an action is initiated.</w:t>
      </w:r>
    </w:p>
    <w:p w14:paraId="4666E7E0"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74DA57A2"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important to note by way of reiteration here that decided cases are authorities for what they decided and only the facts of the case influence and determine the application or applicability of the principle. Thus, for an authority to be relevant, it must be on all fours the same with the facts and law in issue. See the cases of </w:t>
      </w:r>
      <w:proofErr w:type="spellStart"/>
      <w:r w:rsidRPr="00571708">
        <w:rPr>
          <w:rFonts w:ascii="Bookman Old Style" w:eastAsia="Times New Roman" w:hAnsi="Bookman Old Style" w:cs="Times New Roman"/>
          <w:b/>
          <w:bCs/>
          <w:i/>
          <w:iCs/>
          <w:color w:val="000000"/>
          <w:sz w:val="26"/>
          <w:szCs w:val="26"/>
        </w:rPr>
        <w:t>Magaji</w:t>
      </w:r>
      <w:proofErr w:type="spellEnd"/>
      <w:r w:rsidRPr="00571708">
        <w:rPr>
          <w:rFonts w:ascii="Bookman Old Style" w:eastAsia="Times New Roman" w:hAnsi="Bookman Old Style" w:cs="Times New Roman"/>
          <w:b/>
          <w:bCs/>
          <w:i/>
          <w:iCs/>
          <w:color w:val="000000"/>
          <w:sz w:val="26"/>
          <w:szCs w:val="26"/>
        </w:rPr>
        <w:t xml:space="preserve"> vs. Nigerian Army (2008) All FWLR (Part 420) 603@632 para. F and Ngige vs. Obi (No.1)(2012)1NWLR (Part 1280) 40@60-61 paras. H-A</w:t>
      </w:r>
    </w:p>
    <w:p w14:paraId="7760EB31"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C2BB50E"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a stretchy application of settled principle of law in decided cases where facts are dissimilar and the law considered is different from the applicable law to case before the court. For instance, though holding of the court in NTIERO v. NPA (2008) LPELR-2073(SC) is that failure to issue and serve pre-action notice, a condition precedent, deprive the trial Court of any competence or Jurisdiction to try the case; it is crystal clear from the facts of this case that Dominic E. NITIERO, the appellant, was a staff of N.P.A, the respondent, a Federal Government Agency, and filed an action at the trial Court claiming </w:t>
      </w:r>
      <w:r w:rsidRPr="00571708">
        <w:rPr>
          <w:rFonts w:ascii="Bookman Old Style" w:eastAsia="Times New Roman" w:hAnsi="Bookman Old Style" w:cs="Times New Roman"/>
          <w:b/>
          <w:bCs/>
          <w:i/>
          <w:iCs/>
          <w:color w:val="000000"/>
          <w:sz w:val="26"/>
          <w:szCs w:val="26"/>
        </w:rPr>
        <w:t>damages for wrongful dismissal</w:t>
      </w:r>
      <w:r w:rsidRPr="00571708">
        <w:rPr>
          <w:rFonts w:ascii="Bookman Old Style" w:eastAsia="Times New Roman" w:hAnsi="Bookman Old Style" w:cs="Times New Roman"/>
          <w:color w:val="000000"/>
          <w:sz w:val="26"/>
          <w:szCs w:val="26"/>
        </w:rPr>
        <w:t>. The respondent raised objection at the trial of the suit as there was no one month pre-action Notice to the respondent as required by law. The trial Court dismissed the objection. The Court below, on appeal, upheld the respondent’s objection and dismissed the suit.  Will this case be appropriate and applicable to an action whose facts which give right to sue arose from a simple contract?</w:t>
      </w:r>
    </w:p>
    <w:p w14:paraId="13CDB67A"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5DE185F"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In answering the question one way or the other, it is to be borne in mind that in the business world, there are many different types of work relationships between companies and individuals. Some positions come with benefits provided by the employer as well as certain legal obligations required of both the employer and the employee. Other types of positions might be temporary in nature or based on a specific contract drawn between the two parties.</w:t>
      </w:r>
    </w:p>
    <w:p w14:paraId="4459DB3D"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463C8E20"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not in doubt that the likely argument from some readers might be that the parties were employee and employer and the facts of the NITIERO’s </w:t>
      </w:r>
      <w:r w:rsidRPr="00571708">
        <w:rPr>
          <w:rFonts w:ascii="Bookman Old Style" w:eastAsia="Times New Roman" w:hAnsi="Bookman Old Style" w:cs="Times New Roman"/>
          <w:color w:val="000000"/>
          <w:sz w:val="26"/>
          <w:szCs w:val="26"/>
        </w:rPr>
        <w:lastRenderedPageBreak/>
        <w:t>case which gave right to the party to sue arose from contract of service with a neglect to the issue decided in the said NITIERO’s case.</w:t>
      </w:r>
    </w:p>
    <w:p w14:paraId="1C2528BC"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898763C"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importantly important to refresh memory that part of the issues determined was: ‘whether Section 97(2) and 98 Ports Act were properly applied to the case of the appellant (found on a Contract of service)?’ For easy reference, the provisions of those sections re-enacted as Sections 110(1) and (2) and 111 of the Ports Act (Cap. 361) Laws of the Federation of Nigeria, 1990 and provision of Section 110(2) of Cap 361, LFN, 1990 provides as follows: </w:t>
      </w:r>
    </w:p>
    <w:p w14:paraId="6BFCAFA4"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b/>
          <w:bCs/>
          <w:i/>
          <w:iCs/>
          <w:color w:val="000000"/>
          <w:sz w:val="26"/>
          <w:szCs w:val="26"/>
        </w:rPr>
        <w:t>"(2) No suit shall be commenced against the Authority until one month at least after written notice of intention to commence the same shall have been served upon the Authority by the intending plaintiff or his agent. Such notice shall state the cause of action, the name and place of abode of the intending plaintiff and the relief which he claims."</w:t>
      </w:r>
    </w:p>
    <w:p w14:paraId="57EB0A3B"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6EF469C0"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interesting to note that not that Dominic E. NITIERO, the appellant, did not issue or serve pre-action notice but the pre-action notice issued was addressed to the General Manager, rather than to the Chairman or the Secretary of the Authority, as required by Section 111 of the Act and his pre-action notice did not contain any statement as to what the </w:t>
      </w:r>
      <w:proofErr w:type="spellStart"/>
      <w:r w:rsidRPr="00571708">
        <w:rPr>
          <w:rFonts w:ascii="Bookman Old Style" w:eastAsia="Times New Roman" w:hAnsi="Bookman Old Style" w:cs="Times New Roman"/>
          <w:color w:val="000000"/>
          <w:sz w:val="26"/>
          <w:szCs w:val="26"/>
        </w:rPr>
        <w:t>'cause</w:t>
      </w:r>
      <w:proofErr w:type="spellEnd"/>
      <w:r w:rsidRPr="00571708">
        <w:rPr>
          <w:rFonts w:ascii="Bookman Old Style" w:eastAsia="Times New Roman" w:hAnsi="Bookman Old Style" w:cs="Times New Roman"/>
          <w:color w:val="000000"/>
          <w:sz w:val="26"/>
          <w:szCs w:val="26"/>
        </w:rPr>
        <w:t xml:space="preserve"> of action' is, nor 'the name and place of abode of the intending plaintiff, and the relief which he claims' as required by Section 110(2) i.e. the equivalent of former Section 97(2) of the Act. </w:t>
      </w:r>
    </w:p>
    <w:p w14:paraId="3189CF4E"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0EE2B430"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pertinent to say that for time constraint, other decided cases penciled down for discussion are jettisoned and the above narration of the case discussed is not to make reader bored but to fortify the writer’s stand that only the facts of the case influence and determine the application or applicability of the principle and lawyers who are fond of citing authorities out of context should avoid doing so in the best interest of good practice.</w:t>
      </w:r>
    </w:p>
    <w:p w14:paraId="2A27488A"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4016AB54"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Besides, it is the writer’s opinion that if Dominic E. NITIERO, an employee and appellant in the said case, whose case was found to be a contract of service, had not issued any pre-action notice, the issue of addressing same to wrong person would not have arisen and the court would not have come to such holding that he did not comply with the provision of the Act before commencing his action.</w:t>
      </w:r>
    </w:p>
    <w:p w14:paraId="40B77D26"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5A48E728"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 xml:space="preserve">It is the writer’s further opinion that issuance of defective pre-action notice by Dominic E. NITIERO found by the court evinced that he had agreed to </w:t>
      </w:r>
      <w:r w:rsidRPr="00571708">
        <w:rPr>
          <w:rFonts w:ascii="Bookman Old Style" w:eastAsia="Times New Roman" w:hAnsi="Bookman Old Style" w:cs="Times New Roman"/>
          <w:color w:val="000000"/>
          <w:sz w:val="26"/>
          <w:szCs w:val="26"/>
        </w:rPr>
        <w:lastRenderedPageBreak/>
        <w:t>be bound by the provision of the said Act and fact admitted needs no further proof.</w:t>
      </w:r>
    </w:p>
    <w:p w14:paraId="39D8C6E5"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4C52FF1B"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the writer’s further stand that though there is no evidence that Dominic E. NITIERO executed any agreement vis-à-vis the contract of service he had with N.P.A for one to ascertain whether the statutory provisions of the Act considered in the case were incorporated in the said agreement as term of the said agreement or not.</w:t>
      </w:r>
    </w:p>
    <w:p w14:paraId="27118654"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665AFDFC"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the writer’s opinion that, if there is an agreement and the said statutory provisions are not incorporated in the said agreement, the decision of the court upholding the decision of the trial court that Dominic E. NITIERO failed to comply with the provisions of the Act and the court lacked jurisdiction to entertain Dominic E. NITIERO’s claim having found Dominic E. NITIERO’s contract with N.P.A, a contract of service, constitutes a total contrast to the decision of the Supreme Court delivered on Friday 24</w:t>
      </w:r>
      <w:r w:rsidRPr="00571708">
        <w:rPr>
          <w:rFonts w:ascii="Bookman Old Style" w:eastAsia="Times New Roman" w:hAnsi="Bookman Old Style" w:cs="Times New Roman"/>
          <w:color w:val="000000"/>
          <w:sz w:val="16"/>
          <w:szCs w:val="16"/>
          <w:vertAlign w:val="superscript"/>
        </w:rPr>
        <w:t>th</w:t>
      </w:r>
      <w:r w:rsidRPr="00571708">
        <w:rPr>
          <w:rFonts w:ascii="Bookman Old Style" w:eastAsia="Times New Roman" w:hAnsi="Bookman Old Style" w:cs="Times New Roman"/>
          <w:color w:val="000000"/>
          <w:sz w:val="26"/>
          <w:szCs w:val="26"/>
        </w:rPr>
        <w:t xml:space="preserve"> January, 2020 in the case of </w:t>
      </w:r>
      <w:r w:rsidRPr="00571708">
        <w:rPr>
          <w:rFonts w:ascii="Bookman Old Style" w:eastAsia="Times New Roman" w:hAnsi="Bookman Old Style" w:cs="Times New Roman"/>
          <w:b/>
          <w:bCs/>
          <w:i/>
          <w:iCs/>
          <w:color w:val="000000"/>
          <w:sz w:val="26"/>
          <w:szCs w:val="26"/>
        </w:rPr>
        <w:t>Warri Refining &amp; Petrochemical Co. Ltd vs. GECMEP Nigeria Limited,</w:t>
      </w:r>
      <w:r w:rsidRPr="00571708">
        <w:rPr>
          <w:rFonts w:ascii="Bookman Old Style" w:eastAsia="Times New Roman" w:hAnsi="Bookman Old Style" w:cs="Times New Roman"/>
          <w:color w:val="000000"/>
          <w:sz w:val="26"/>
          <w:szCs w:val="26"/>
        </w:rPr>
        <w:t xml:space="preserve"> wherein Hon. </w:t>
      </w:r>
      <w:proofErr w:type="spellStart"/>
      <w:r w:rsidRPr="00571708">
        <w:rPr>
          <w:rFonts w:ascii="Bookman Old Style" w:eastAsia="Times New Roman" w:hAnsi="Bookman Old Style" w:cs="Times New Roman"/>
          <w:i/>
          <w:iCs/>
          <w:color w:val="000000"/>
          <w:sz w:val="26"/>
          <w:szCs w:val="26"/>
        </w:rPr>
        <w:t>Kudirat</w:t>
      </w:r>
      <w:proofErr w:type="spellEnd"/>
      <w:r w:rsidRPr="00571708">
        <w:rPr>
          <w:rFonts w:ascii="Bookman Old Style" w:eastAsia="Times New Roman" w:hAnsi="Bookman Old Style" w:cs="Times New Roman"/>
          <w:i/>
          <w:iCs/>
          <w:color w:val="000000"/>
          <w:sz w:val="26"/>
          <w:szCs w:val="26"/>
        </w:rPr>
        <w:t xml:space="preserve"> </w:t>
      </w:r>
      <w:proofErr w:type="spellStart"/>
      <w:r w:rsidRPr="00571708">
        <w:rPr>
          <w:rFonts w:ascii="Bookman Old Style" w:eastAsia="Times New Roman" w:hAnsi="Bookman Old Style" w:cs="Times New Roman"/>
          <w:i/>
          <w:iCs/>
          <w:color w:val="000000"/>
          <w:sz w:val="26"/>
          <w:szCs w:val="26"/>
        </w:rPr>
        <w:t>Motonmori</w:t>
      </w:r>
      <w:proofErr w:type="spellEnd"/>
      <w:r w:rsidRPr="00571708">
        <w:rPr>
          <w:rFonts w:ascii="Bookman Old Style" w:eastAsia="Times New Roman" w:hAnsi="Bookman Old Style" w:cs="Times New Roman"/>
          <w:i/>
          <w:iCs/>
          <w:color w:val="000000"/>
          <w:sz w:val="26"/>
          <w:szCs w:val="26"/>
        </w:rPr>
        <w:t xml:space="preserve"> </w:t>
      </w:r>
      <w:proofErr w:type="spellStart"/>
      <w:r w:rsidRPr="00571708">
        <w:rPr>
          <w:rFonts w:ascii="Bookman Old Style" w:eastAsia="Times New Roman" w:hAnsi="Bookman Old Style" w:cs="Times New Roman"/>
          <w:i/>
          <w:iCs/>
          <w:color w:val="000000"/>
          <w:sz w:val="26"/>
          <w:szCs w:val="26"/>
        </w:rPr>
        <w:t>Olatokunbo</w:t>
      </w:r>
      <w:proofErr w:type="spellEnd"/>
      <w:r w:rsidRPr="00571708">
        <w:rPr>
          <w:rFonts w:ascii="Bookman Old Style" w:eastAsia="Times New Roman" w:hAnsi="Bookman Old Style" w:cs="Times New Roman"/>
          <w:i/>
          <w:iCs/>
          <w:color w:val="000000"/>
          <w:sz w:val="26"/>
          <w:szCs w:val="26"/>
        </w:rPr>
        <w:t xml:space="preserve"> </w:t>
      </w:r>
      <w:proofErr w:type="spellStart"/>
      <w:r w:rsidRPr="00571708">
        <w:rPr>
          <w:rFonts w:ascii="Bookman Old Style" w:eastAsia="Times New Roman" w:hAnsi="Bookman Old Style" w:cs="Times New Roman"/>
          <w:i/>
          <w:iCs/>
          <w:color w:val="000000"/>
          <w:sz w:val="26"/>
          <w:szCs w:val="26"/>
        </w:rPr>
        <w:t>Kekere-Ekun</w:t>
      </w:r>
      <w:proofErr w:type="spellEnd"/>
      <w:r w:rsidRPr="00571708">
        <w:rPr>
          <w:rFonts w:ascii="Bookman Old Style" w:eastAsia="Times New Roman" w:hAnsi="Bookman Old Style" w:cs="Times New Roman"/>
          <w:i/>
          <w:iCs/>
          <w:color w:val="000000"/>
          <w:sz w:val="26"/>
          <w:szCs w:val="26"/>
        </w:rPr>
        <w:t xml:space="preserve"> JSC</w:t>
      </w:r>
      <w:r w:rsidRPr="00571708">
        <w:rPr>
          <w:rFonts w:ascii="Bookman Old Style" w:eastAsia="Times New Roman" w:hAnsi="Bookman Old Style" w:cs="Times New Roman"/>
          <w:color w:val="000000"/>
          <w:sz w:val="26"/>
          <w:szCs w:val="26"/>
        </w:rPr>
        <w:t xml:space="preserve"> with reference to cases of </w:t>
      </w:r>
      <w:r w:rsidRPr="00571708">
        <w:rPr>
          <w:rFonts w:ascii="Bookman Old Style" w:eastAsia="Times New Roman" w:hAnsi="Bookman Old Style" w:cs="Times New Roman"/>
          <w:i/>
          <w:iCs/>
          <w:color w:val="000000"/>
          <w:sz w:val="26"/>
          <w:szCs w:val="26"/>
        </w:rPr>
        <w:t xml:space="preserve">NPA Vs. </w:t>
      </w:r>
      <w:proofErr w:type="spellStart"/>
      <w:r w:rsidRPr="00571708">
        <w:rPr>
          <w:rFonts w:ascii="Bookman Old Style" w:eastAsia="Times New Roman" w:hAnsi="Bookman Old Style" w:cs="Times New Roman"/>
          <w:i/>
          <w:iCs/>
          <w:color w:val="000000"/>
          <w:sz w:val="26"/>
          <w:szCs w:val="26"/>
        </w:rPr>
        <w:t>Construzioni</w:t>
      </w:r>
      <w:proofErr w:type="spellEnd"/>
      <w:r w:rsidRPr="00571708">
        <w:rPr>
          <w:rFonts w:ascii="Bookman Old Style" w:eastAsia="Times New Roman" w:hAnsi="Bookman Old Style" w:cs="Times New Roman"/>
          <w:color w:val="000000"/>
          <w:sz w:val="26"/>
          <w:szCs w:val="26"/>
        </w:rPr>
        <w:t xml:space="preserve"> and </w:t>
      </w:r>
      <w:r w:rsidRPr="00571708">
        <w:rPr>
          <w:rFonts w:ascii="Bookman Old Style" w:eastAsia="Times New Roman" w:hAnsi="Bookman Old Style" w:cs="Times New Roman"/>
          <w:i/>
          <w:iCs/>
          <w:color w:val="000000"/>
          <w:sz w:val="26"/>
          <w:szCs w:val="26"/>
        </w:rPr>
        <w:t>Wema Securities &amp; Finance Plc. vs. Nigeria Agricultural Insurance Corporation (2015)16 NWLR (Part 1484) 93</w:t>
      </w:r>
      <w:r w:rsidRPr="00571708">
        <w:rPr>
          <w:rFonts w:ascii="Bookman Old Style" w:eastAsia="Times New Roman" w:hAnsi="Bookman Old Style" w:cs="Times New Roman"/>
          <w:color w:val="000000"/>
          <w:sz w:val="26"/>
          <w:szCs w:val="26"/>
        </w:rPr>
        <w:t xml:space="preserve"> held thus:</w:t>
      </w:r>
    </w:p>
    <w:p w14:paraId="4BCE9299"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b/>
          <w:bCs/>
          <w:i/>
          <w:iCs/>
          <w:color w:val="000000"/>
          <w:sz w:val="26"/>
          <w:szCs w:val="26"/>
        </w:rPr>
        <w:t xml:space="preserve">‘‘In the decision of NPA v. CONSTRUZIONI (supra), the Supreme Court dealt extensively with a similar provision, being Section 97 of the Ports Act and its sub-sections (1)and(2) which are </w:t>
      </w:r>
      <w:proofErr w:type="spellStart"/>
      <w:r w:rsidRPr="00571708">
        <w:rPr>
          <w:rFonts w:ascii="Bookman Old Style" w:eastAsia="Times New Roman" w:hAnsi="Bookman Old Style" w:cs="Times New Roman"/>
          <w:b/>
          <w:bCs/>
          <w:i/>
          <w:iCs/>
          <w:color w:val="000000"/>
          <w:sz w:val="26"/>
          <w:szCs w:val="26"/>
        </w:rPr>
        <w:t>inpari</w:t>
      </w:r>
      <w:proofErr w:type="spellEnd"/>
      <w:r w:rsidRPr="00571708">
        <w:rPr>
          <w:rFonts w:ascii="Bookman Old Style" w:eastAsia="Times New Roman" w:hAnsi="Bookman Old Style" w:cs="Times New Roman"/>
          <w:b/>
          <w:bCs/>
          <w:i/>
          <w:iCs/>
          <w:color w:val="000000"/>
          <w:sz w:val="26"/>
          <w:szCs w:val="26"/>
        </w:rPr>
        <w:t xml:space="preserve"> material with those of Section 12(1) and (2) of the NNPC Act. In that case, the Supreme Court found that, Section 97 (1) of the Ports Act applies to everything done or omitted to be done the Act. Thus, it </w:t>
      </w:r>
      <w:r w:rsidRPr="00571708">
        <w:rPr>
          <w:rFonts w:ascii="Bookman Old Style" w:eastAsia="Times New Roman" w:hAnsi="Bookman Old Style" w:cs="Times New Roman"/>
          <w:b/>
          <w:bCs/>
          <w:i/>
          <w:iCs/>
          <w:color w:val="000000"/>
          <w:sz w:val="26"/>
          <w:szCs w:val="26"/>
          <w:u w:val="single"/>
        </w:rPr>
        <w:t>would be stretching the meaning of the provision too far</w:t>
      </w:r>
      <w:r w:rsidRPr="00571708">
        <w:rPr>
          <w:rFonts w:ascii="Bookman Old Style" w:eastAsia="Times New Roman" w:hAnsi="Bookman Old Style" w:cs="Times New Roman"/>
          <w:b/>
          <w:bCs/>
          <w:i/>
          <w:iCs/>
          <w:color w:val="000000"/>
          <w:sz w:val="26"/>
          <w:szCs w:val="26"/>
        </w:rPr>
        <w:t xml:space="preserve">, if it is extended to specific contracts. Specifically, in WEMA SEC. FIN. PLC v. N.A.I.C (2015)16 NWLR (Part 1484) 93, it was held inter alia, that ‘It is now settled law that Section 2 of the Public Officers (Protection) Act and all such enactments similarly worded like it… </w:t>
      </w:r>
      <w:r w:rsidRPr="00571708">
        <w:rPr>
          <w:rFonts w:ascii="Bookman Old Style" w:eastAsia="Times New Roman" w:hAnsi="Bookman Old Style" w:cs="Times New Roman"/>
          <w:b/>
          <w:bCs/>
          <w:i/>
          <w:iCs/>
          <w:color w:val="000000"/>
          <w:sz w:val="26"/>
          <w:szCs w:val="26"/>
          <w:u w:val="single"/>
        </w:rPr>
        <w:t>do not apply to cases of contract</w:t>
      </w:r>
      <w:r w:rsidRPr="00571708">
        <w:rPr>
          <w:rFonts w:ascii="Bookman Old Style" w:eastAsia="Times New Roman" w:hAnsi="Bookman Old Style" w:cs="Times New Roman"/>
          <w:b/>
          <w:bCs/>
          <w:i/>
          <w:iCs/>
          <w:color w:val="000000"/>
          <w:sz w:val="26"/>
          <w:szCs w:val="26"/>
        </w:rPr>
        <w:t xml:space="preserve">. … To hold otherwise, would be to negate the general principles upon which the law of contract is based.’’ Based on the foregoing, the Supreme Court held that, the </w:t>
      </w:r>
      <w:r w:rsidRPr="00571708">
        <w:rPr>
          <w:rFonts w:ascii="Bookman Old Style" w:eastAsia="Times New Roman" w:hAnsi="Bookman Old Style" w:cs="Times New Roman"/>
          <w:b/>
          <w:bCs/>
          <w:i/>
          <w:iCs/>
          <w:color w:val="000000"/>
          <w:sz w:val="26"/>
          <w:szCs w:val="26"/>
          <w:u w:val="single"/>
        </w:rPr>
        <w:t>transaction between the parties, being one of simple contract, and having not expressly incorporated the provisions of Section 12(2) of the NNPC Act as terms of the contract</w:t>
      </w:r>
      <w:r w:rsidRPr="00571708">
        <w:rPr>
          <w:rFonts w:ascii="Bookman Old Style" w:eastAsia="Times New Roman" w:hAnsi="Bookman Old Style" w:cs="Times New Roman"/>
          <w:b/>
          <w:bCs/>
          <w:i/>
          <w:iCs/>
          <w:color w:val="000000"/>
          <w:sz w:val="26"/>
          <w:szCs w:val="26"/>
        </w:rPr>
        <w:t>, it follows that the said provisions are not applicable to the instant suit, and the Respondent’s suit was properly instituted.’’</w:t>
      </w:r>
      <w:r w:rsidRPr="00571708">
        <w:rPr>
          <w:rFonts w:ascii="Bookman Old Style" w:eastAsia="Times New Roman" w:hAnsi="Bookman Old Style" w:cs="Times New Roman"/>
          <w:color w:val="000000"/>
          <w:sz w:val="26"/>
          <w:szCs w:val="26"/>
        </w:rPr>
        <w:t xml:space="preserve"> The underlines are the writer’s for emphasis.     </w:t>
      </w:r>
    </w:p>
    <w:p w14:paraId="4EDAE08E"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3DE593C8"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lastRenderedPageBreak/>
        <w:t>It is the writer’s final stand that the statutory provisions on the pre-requisite of pre-action notice only applies in cases of contract where the said Statutory provision is incorporated in the agreement as term of the contract but where there is no such incorporation of the statutory provision in the agreement, the statutory provision on pre-requisite of pre-action notice does not apply and the court has jurisdiction where there is no issuance and service of the pre-action notice. Thus, the prerequisite of pre-action notice only becomes a condition precedent in cases of contract where the statutory provision for issuance of pre-action notice is incorporated in the agreement between the parties.</w:t>
      </w:r>
    </w:p>
    <w:p w14:paraId="2B634496"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1A4AFBAC"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the writer’s recommendation that the aged lingering notion that the statutory provision on pre-requisite of pre-action notice applies to all cases should be dislodged and practice of filing application objecting to the jurisdiction of the court to hear the matter simply because no service of the pre-action notice was made before action is instituted should be stopped. </w:t>
      </w:r>
    </w:p>
    <w:p w14:paraId="49A5AC68"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73D3F116"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finally recommended that efforts should always be made to ascertain whether by the nature of the claimant’s claim and document (agreement) accompanying the claim, the issuance and service of the pre-action notice is necessary or not. </w:t>
      </w:r>
    </w:p>
    <w:p w14:paraId="24D4DAFF" w14:textId="77777777" w:rsidR="00571708" w:rsidRPr="00571708" w:rsidRDefault="00571708" w:rsidP="00571708">
      <w:pPr>
        <w:spacing w:after="0" w:line="240" w:lineRule="auto"/>
        <w:rPr>
          <w:rFonts w:ascii="Times New Roman" w:eastAsia="Times New Roman" w:hAnsi="Times New Roman" w:cs="Times New Roman"/>
          <w:sz w:val="24"/>
          <w:szCs w:val="24"/>
        </w:rPr>
      </w:pPr>
    </w:p>
    <w:p w14:paraId="14E221CF" w14:textId="77777777" w:rsidR="00571708" w:rsidRPr="00571708" w:rsidRDefault="00571708" w:rsidP="00571708">
      <w:pPr>
        <w:spacing w:after="0" w:line="240" w:lineRule="auto"/>
        <w:jc w:val="both"/>
        <w:rPr>
          <w:rFonts w:ascii="Times New Roman" w:eastAsia="Times New Roman" w:hAnsi="Times New Roman" w:cs="Times New Roman"/>
          <w:sz w:val="24"/>
          <w:szCs w:val="24"/>
        </w:rPr>
      </w:pPr>
      <w:r w:rsidRPr="00571708">
        <w:rPr>
          <w:rFonts w:ascii="Bookman Old Style" w:eastAsia="Times New Roman" w:hAnsi="Bookman Old Style" w:cs="Times New Roman"/>
          <w:color w:val="000000"/>
          <w:sz w:val="26"/>
          <w:szCs w:val="26"/>
        </w:rPr>
        <w:t>It is hereby advised that where action is instituted against Statutory Corporations and the cause of action arose from alleged breach of contract without any pre-action notice being served before its institution, efforts should be made to ascertain whether there is incorporation of the statutory provision in the agreement between the parties or not before filing an objection to the suit on the ground of alleged incompetence of the suit as doing this would save precious time of the court and thereby promote quick determination of the case without unnecessary delay.   </w:t>
      </w:r>
    </w:p>
    <w:p w14:paraId="43315BFF" w14:textId="4237CC61" w:rsidR="00B00FFD" w:rsidRDefault="00571708" w:rsidP="00571708">
      <w:r w:rsidRPr="00571708">
        <w:rPr>
          <w:rFonts w:ascii="Times New Roman" w:eastAsia="Times New Roman" w:hAnsi="Times New Roman" w:cs="Times New Roman"/>
          <w:sz w:val="24"/>
          <w:szCs w:val="24"/>
        </w:rPr>
        <w:br/>
      </w:r>
      <w:r w:rsidRPr="00571708">
        <w:rPr>
          <w:rFonts w:ascii="Times New Roman" w:eastAsia="Times New Roman" w:hAnsi="Times New Roman" w:cs="Times New Roman"/>
          <w:sz w:val="24"/>
          <w:szCs w:val="24"/>
        </w:rPr>
        <w:br/>
      </w:r>
      <w:r w:rsidRPr="00571708">
        <w:rPr>
          <w:rFonts w:ascii="Times New Roman" w:eastAsia="Times New Roman" w:hAnsi="Times New Roman" w:cs="Times New Roman"/>
          <w:sz w:val="24"/>
          <w:szCs w:val="24"/>
        </w:rPr>
        <w:br/>
      </w:r>
    </w:p>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73315"/>
    <w:multiLevelType w:val="multilevel"/>
    <w:tmpl w:val="E75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F666D"/>
    <w:multiLevelType w:val="multilevel"/>
    <w:tmpl w:val="7128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08"/>
    <w:rsid w:val="00571708"/>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6E95"/>
  <w15:chartTrackingRefBased/>
  <w15:docId w15:val="{0294D35F-F457-4788-B9FE-44C7A9C7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71708"/>
  </w:style>
  <w:style w:type="character" w:styleId="Hyperlink">
    <w:name w:val="Hyperlink"/>
    <w:basedOn w:val="DefaultParagraphFont"/>
    <w:uiPriority w:val="99"/>
    <w:semiHidden/>
    <w:unhideWhenUsed/>
    <w:rsid w:val="00571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52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wa_pental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2459</Words>
  <Characters>14019</Characters>
  <Application>Microsoft Office Word</Application>
  <DocSecurity>0</DocSecurity>
  <Lines>116</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2020-12-01T10:48:00Z</dcterms:created>
  <dcterms:modified xsi:type="dcterms:W3CDTF">2020-12-01T10:48:00Z</dcterms:modified>
</cp:coreProperties>
</file>